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Arial" w:hAnsi="Arial" w:eastAsia="Arial" w:cs="Arial"/>
          <w:sz w:val="40"/>
          <w:szCs w:val="40"/>
          <w:b w:val="1"/>
          <w:color w:val="000000"/>
        </w:rPr>
        <w:pStyle w:val="Title"/>
      </w:pPr>
      <w:r>
        <w:rPr>
          <w:rFonts w:ascii="Arial" w:hAnsi="Arial" w:eastAsia="Arial" w:cs="Arial"/>
          <w:sz w:val="40"/>
          <w:szCs w:val="40"/>
          <w:b w:val="1"/>
          <w:color w:val="000000"/>
        </w:rPr>
        <w:t>Support Document SD-03 - Guardrail and Failure-Mode Register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b/>
          <w:rFonts w:ascii="Arial" w:hAnsi="Arial" w:eastAsia="Arial" w:cs="Arial"/>
          <w:sz w:val="22"/>
          <w:szCs w:val="22"/>
        </w:rPr>
        <w:t>Part 3 (Sections 3a–3c): The Epistemic Method | Consolidated failure-control | Source-locked | Issue 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419"/>
        <w:gridCol w:w="7661"/>
      </w:tblGrid>
      <w:tr>
        <w:trPr>
          <w:tblHeader/>
        </w:trPr>
        <w:tc>
          <w:tcPr>
            <w:tcW w:type="dxa" w:w="2419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field</w:t>
            </w:r>
          </w:p>
        </w:tc>
        <w:tc>
          <w:tcPr>
            <w:tcW w:type="dxa" w:w="7661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Value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Document ID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TEM-P3-3A3B3C-SD03-GUARDRAIL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Version / issue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Issue 1 - aligned to the Issue 1 paper sequence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Date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2026-09-24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Controlled Part 3 support document aligned to the eight Issue 1 canonical papers, GOT-V1-3a-1 through GOT-V1-3c-8. Secondary to the canonical papers.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Supersedes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Guardrail and Failure-Mode Register - Issue 1 - Formatted.docx. This content reconciliation preserves the eight-paper sequence and updates source identities, ownership, locators, and support dependencies. Earlier release history remains recoverable in that source copy.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Records Part-level guardrails, failure modes, severity classes, corrections, and diagnostic questions while preserving distinct 3a/3b/3c ownership.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Primary papers govern technical definitions. Failure-control may expose drift but may not create new technical content.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Internal split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Section 3a, Section 3b, and Section 3c remain distinct canonical regions inside one Part-level support control. Downstream papers may inherit and apply upstream architecture but do not retroactively redefine it.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the eight canonical Part 3 papers and current SD-01/SD-02 as active Part 3 control. Use Parts 1/2 only for inherited terms and guardrails.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Template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Retain the established support-document layout and control schema. Earlier support copies retain historical evidence; the eight Issue 1 papers govern current content. Parts 1 and 2 remain inherited-control references only.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0. Status, function, and source discipline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Primary guardrail: no claim, horizon label, unknown label, branch field, responsibility noun, trust carrier, formalisation packet, institutional procedure, release, certificate, schema, model, machine output, or method-compliance statement may carry more strength than the recoverable relation and discriminator conditions that earn it.</w:t>
      </w: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0.1 Canonical source-lock register</w:t>
      </w:r>
    </w:p>
    <w:p>
      <w:pPr>
        <w:spacing w:before="0" w:after="120"/>
        <w:rPr>
          <w:rFonts w:ascii="Arial" w:hAnsi="Arial" w:eastAsia="Arial" w:cs="Arial"/>
          <w:sz w:val="24"/>
          <w:szCs w:val="24"/>
          <w:b w:val="1"/>
          <w:color w:val="000000"/>
        </w:rPr>
        <w:keepNext/>
        <w:keepLines/>
      </w:pPr>
      <w:r>
        <w:rPr>
          <w:rFonts w:ascii="Arial" w:hAnsi="Arial" w:eastAsia="Arial" w:cs="Arial"/>
          <w:sz w:val="22"/>
          <w:szCs w:val="24"/>
          <w:b w:val="0"/>
          <w:color w:val="000000"/>
        </w:rPr>
        <w:t>Paper keys 3a-1 to 3c-8 abbreviate the full GOT-V1 identifiers below. Section locators refer to the numbered headings in the Issue 1 papers; endnote locators use their Arabic note numbers. SHA16 records the first 16 hexadecimal characters of SHA-256.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1411"/>
        <w:gridCol w:w="2923"/>
        <w:gridCol w:w="1915"/>
        <w:gridCol w:w="3830"/>
      </w:tblGrid>
      <w:tr>
        <w:trPr>
          <w:tblHeader/>
        </w:trPr>
        <w:tc>
          <w:tcPr>
            <w:tcW w:type="dxa" w:w="1411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Seq.</w:t>
            </w:r>
          </w:p>
        </w:tc>
        <w:tc>
          <w:tcPr>
            <w:tcW w:type="dxa" w:w="2923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canonical source</w:t>
            </w:r>
          </w:p>
        </w:tc>
        <w:tc>
          <w:tcPr>
            <w:tcW w:type="dxa" w:w="1915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paper</w:t>
            </w:r>
          </w:p>
        </w:tc>
        <w:tc>
          <w:tcPr>
            <w:tcW w:type="dxa" w:w="383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ownership / use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GOT-V1-3a-1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GOT-V1-3a-1 - The Gödel Horizon - Issue 1.docx | sha16 44a8b20a68541a55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Gödel Horizon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Horizon grammar: relational availability; availability/closure boundary conditions; Soft Horizon; Gödel Horizon; Procedural Availability Horizon; coupled loci; abstraction boundaries; comparator and stabilisation discipline.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GOT-V1-3a-2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GOT-V1-3a-2 - The Discipline of the Unknown - Issue 1.docx | sha16 04d3becc2b5a5029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Discipline of the Unknown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Unknown-statuses; residual; positive exclusion; live formulations; Best Available Formulation; Weighted Residual; action threshold, safeguard, monitoring, stop condition, update, and branch-memory.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GOT-V1-3b-3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GOT-V1-3b-3 - On the Origin of Power - Issue 1.docx | sha16 d6d961fbb277a77c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Power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Power as IPL-indexed distinction-conditioned branch potential; Counterfactual Inclusion Field; potential/application/consequence separation; Counterfactual Exclusion; thermodynamic grounding.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GOT-V1-3b-4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GOT-V1-3b-4 - On the Origin of Responsibility - Issue 1.docx | sha16 ef17be5480bc49e7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Responsibility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Responsibility as locus-indexed attribution; Responsibility Provenance; distributed and temporal provenance; Responsibility Gradient; Immediate-Frame Principle; Responsibility Warrant.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GOT-V1-3b-5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GOT-V1-3b-5 - On the Origin of Trust - Issue 1.docx | sha16 d8a68ac35982e5a0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Trust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Trust as reliance closure under residual; primitive audit; branch-space economy; trust thresholds; vicarious trust; Epistemic Authority and the minimum Structural Authority distinction (§8); trust carriers; laundering; betrayal, repair, and formalisation handoff.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GOT-V1-3c-6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GOT-V1-3c-6 - The Case for Formalisation - Issue 1.docx | sha16 b4d11bd226838155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Case for Formalisation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Load-bearing language; recoverable authority; distinct epistemic grounding and structural authorisation (§1); epistemic debt; institutions and machines; formalisation as preservation; auditable claim packet; proportional formalisation; retrospective review.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GOT-V1-3c-7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GOT-V1-3c-7 - The Constitutional Governance of Formalisation - Issue 1.docx | sha16 a3540c539c730360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Constitutional Governance of Formalisation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Governance of formalisation; constitutional/technical/application levels; application of Epistemic Authority inherited from 3b-5; custodial and operational applications of Structural Authority (§6); amendment, forks, certification, and capture controls.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GOT-V1-3c-8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GOT-V1-3c-8 - The Epistemic Method - Issue 1.docx | sha16 dc08048b02787be4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Epistemic Method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Integrated relational audit of claim-strength and reliance-strength; indexed relation; claim and reliance paths; comparator, residual, reliance limit; preferential reliance and carrier-path preservation (§6); conditional Power/Responsibility audits; method-compliance is not closure.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0.2 Upstream inherited-control references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14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ID</w:t>
            </w:r>
          </w:p>
        </w:tc>
        <w:tc>
          <w:tcPr>
            <w:tcW w:type="dxa" w:w="518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source</w:t>
            </w:r>
          </w:p>
        </w:tc>
        <w:tc>
          <w:tcPr>
            <w:tcW w:type="dxa" w:w="633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Permitted use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P1-SD01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Concept Compression Map - Issue 1.docx | sha16 a256c5229849f993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architecture compression for NTC, BD, IPL, DTS, life-threshold and localisation discipline.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P1-SD02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Glossary - Issue 1.docx | sha16 e97712ced4e2b095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controlled vocabulary for inherited Part 1 terms.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P1-SD03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Guardrail and Failure-Mode Register - Issue 1.docx | sha16 794360cc1ff16519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comparator, localisation, source-lock, and anti-inflation guardrails.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P1-SD04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Bibliography and Relation Register - Issue 1.docx | sha16 7b0b194c1552979b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bibliographic relation-control reference only; no citation transfer into Part 3.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P2-SD01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Concept Compression Map - Issue 1.docx | sha16 eee99287e2cfaa10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 for RRP, signal, OP/OA/OR/RAS/RSD, knowledge, intelligence, observation, abstraction, scale, and observation-program architecture.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P2-SD02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Glossary - Issue 1.docx | sha16 b144e7dc2eac7133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controlled vocabulary for inherited informational and observational terms.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P2-SD03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Guardrail and Failure-Mode Register - Issue 1.docx | sha16 f955341321f11d30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failure-control for local locus, information/signal, observation, abstraction, scale, and descriptor discipline.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P2-SD04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Bibliography and Relation Register - Issue 1.docx | sha16 12dc458d0e940e8c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bibliographic relation-control reference only; no citation transfer into Part 3.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Protocol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Historical reference: GOT - Bibliographic Identification Classification and Adjacency Discovery Protocol - Issue 1(1).docx | sha16 03dec29bfa52830c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Retained classification context from the prior support release. This protocol file is not in the current supplied control set; its recorded hash is historical and is not represented as a newly verified source. Existing classifications are retained, with no new promotion of inheritance.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0.3 Part-level support-control chain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14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ID</w:t>
            </w:r>
          </w:p>
        </w:tc>
        <w:tc>
          <w:tcPr>
            <w:tcW w:type="dxa" w:w="604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control file</w:t>
            </w:r>
          </w:p>
        </w:tc>
        <w:tc>
          <w:tcPr>
            <w:tcW w:type="dxa" w:w="576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Permitted use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P3-SD01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Concept Compression Map - Issue 1.docx | sha16 874e44c76caf3061</w:t>
            </w:r>
          </w:p>
        </w:tc>
        <w:tc>
          <w:tcPr>
            <w:tcW w:type="dxa" w:w="57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Architecture compression and source-discipline control.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P3-SD02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Glossary - Issue 1.docx | sha16 8e0c4e96367405e7</w:t>
            </w:r>
          </w:p>
        </w:tc>
        <w:tc>
          <w:tcPr>
            <w:tcW w:type="dxa" w:w="57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Controlled vocabulary and canonical-home cross-check.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Excluded source class: superseded Part 3 paper revisions as current identities; contextual essay-series material; downstream extension proposals; prior generated answers; unverified or unadmitted external material; and any later Part 3 concept not present in the current eight-paper canonical sequence. Bibliographic recurrence does not create technical inheritance.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SD-01, sections 9–10, preserves the identity migration and the deferred Toolkit update control. The eight-paper lock remains active; the future Toolkit does not yet supply a Part 3 definition, guardrail, or bibliography entry.</w:t>
      </w: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1. Severity classes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Class</w:t>
            </w:r>
          </w:p>
        </w:tc>
        <w:tc>
          <w:tcPr>
            <w:tcW w:type="dxa" w:w="288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Meaning</w:t>
            </w:r>
          </w:p>
        </w:tc>
        <w:tc>
          <w:tcPr>
            <w:tcW w:type="dxa" w:w="460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Examples</w:t>
            </w:r>
          </w:p>
        </w:tc>
        <w:tc>
          <w:tcPr>
            <w:tcW w:type="dxa" w:w="345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Required response</w:t>
            </w:r>
          </w:p>
        </w:tc>
      </w:tr>
      <w:tr>
        <w:trPr>
          <w:cantSplit/>
        </w:trP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A - Mechanical inconsistency</w:t>
            </w:r>
          </w:p>
        </w:tc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Breaks the architecture.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Redefining upstream terms downstream; treating every cause as Power; role as provenance; method-compliance as closure; carrier as warrant.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Correct before finalisation.</w:t>
            </w:r>
          </w:p>
        </w:tc>
      </w:tr>
      <w:tr>
        <w:trPr>
          <w:cantSplit/>
        </w:trP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B - Terminology drift</w:t>
            </w:r>
          </w:p>
        </w:tc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Creates ambiguity or future misuse.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Using horizon without availability/closure demand; Power without CIF/locus; Responsibility without attribution target; Trust without closure demand; formalisation without consequence trigger.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Correct before compression or publication.</w:t>
            </w:r>
          </w:p>
        </w:tc>
      </w:tr>
      <w:tr>
        <w:trPr>
          <w:cantSplit/>
        </w:trPr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Class C - Presentation ambiguity</w:t>
            </w:r>
          </w:p>
        </w:tc>
        <w:tc>
          <w:tcPr>
            <w:tcW w:type="dxa" w:w="288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May mislead despite intact architecture.</w:t>
            </w:r>
          </w:p>
        </w:tc>
        <w:tc>
          <w:tcPr>
            <w:tcW w:type="dxa" w:w="46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“Unknown” sounds blank; “power” sounds authority; “responsibility” sounds blame; “trust” sounds moral virtue; “constitutional” sounds immutable; “audit” sounds certification.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Clarify through ownership note, discriminator, residual, or diagnostic question.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2. Cross-Part and cross-section failures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drift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Superseded papers/support wording or unverified material re-enters as current Part 3 source.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Return to eight current paper hashes and listed controls.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 every technical claim be traced to a current canonical paper or permitted upstream control?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ownership drift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support document or later paper silently redefines an earlier canonical term.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Return the definition to the owning paper; use downstream content only as alignment pressure.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paper owns the discriminator?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Section back-propagation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3b or 3c vocabulary is pre-installed into 3a because it later proves compatible.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directional inheritance; revise upstream only for actual inconsistency in its owned relation.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Would the upstream paper still state the relation without the later vocabulary?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Inheritance by repetition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Repeated citation or use across papers is treated as Indexed Inheritance.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citation, comparator, dependency, and inheritance separate.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Has a separate inheritance audit promoted the relation?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Locus drift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Target, carrier, observer, affected locus, applying locus, and responsible locus are silently merged.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Re-index the relation at each material transformation.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 whom/what does the claimed relation hold here?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Scale/horizon drift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claim travels across scale or horizon without preserving its comparator and access conditions.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Restate reference scale/horizon and show a valid bridge.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changed when the claim moved?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3. Section 3a failure modes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Horizon objectification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horizon is treated as a place, object, metaphysical zone, or fixed edge.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Restore the availability/closure boundary relation.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relation, locus, availability condition, and closure demand produce the boundary?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Gödel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Any uncertainty, difficulty, ignorance, or limitation is labelled a Gödel Horizon.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available/formulable relation plus disclosed failure of closure from the present regime’s own resources.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 closure failure actually internal to the stated regime and demand?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Procedural overclaim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describable experiment, proof path, evidence path, or process is treated as if realised.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Mark Procedural Availability Horizon and withhold closure until the path exists.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 the required path actually be executed by the locus?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Soft-Horizon reification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Provisional closure travels as final warrant.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Carry residual, scope, comparator/tolerance, purpose, and update with the closure.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remains unresolved and what would force update?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 flattening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All unresolved relation becomes one generic unknown.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Type unknown-status by availability and closure condition.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 relation unavailable, unrecognised, misclosed, residual, live, weighted, or action-bound?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laundering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is mentioned but allowed to do no limiting work.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State what stronger claim is blocked and what update would change it.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Does the residual change claim-strength or action limits?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Live-field equality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All live formulations are treated as equally supported because final closure is absent.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Weight heterogeneously and retain positive exclusions.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evidence/comparator/scale support differentiates them?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BAF closure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Best Available Formulation is treated as final truth.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Retain its purpose type, residual, alternatives, and update conditions.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stronger closure demand remains unmet?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Action-certainty conversion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 taken under threshold is later narrated as proof or truth.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action threshold from truth/explanatory closure; preserve branch-memory.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Would the claim have been equally strong if no action had been required?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Stabilisation hindsight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Realised outcome erases what alternatives were live or knowable beforehand.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contemporaneous live field, exclusions, and update history.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was actually available to the locus at the time?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4. Section 3b failure modes - Power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Cause-to-Power collapse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Any causal contribution is called Power.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IPL-localised distinction-conditioned branch potential under comparator pressure.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Would the branch field differ because this organisation can make a discrimination operative?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Power-as-force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Energetic magnitude or visible effect substitutes for the discriminator.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causal magnitude from distinction-conditioned potential.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organised discrimination doing the branch-changing work?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Power-as-authority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Role, office, command, status, permission, or possession is treated as primitive Power.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the physically supported CIF of the specified locus.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branches are actually included by the locus’s organisation?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Imagined-CIF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Exterior analyst imagination populates the CIF with unrealised but physically unsupported futures.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Include only branches supported by the IPL under stated conditions.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physical path makes each claimed branch available?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Potential/application collapse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Possessing a power potential is treated as equivalent to present application or consequence.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potential, application, and consequence distinct.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part of the relation is currently established?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CE agency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Counterfactual Exclusion is read as conscious choice, rejection, or metaphysical deletion.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Restore it as the negative side of a realised distinction-conditioned branch event.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Was a relevant included alternative simply not equivalently realised?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Thermodynamic escape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Branch-changing power is treated as abstract information unconstrained by physical work/entropy.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Retain physical carriers and lawful thermodynamic accounting.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substrate and energetic pathway carry the distinction and transition?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5. Section 3b failure modes - Responsibility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Causation-to-Responsibility collapse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Every cause becomes Responsibility.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Follow only the distinction-conditioned subset of causal provenance.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local discrimination/organisation did consequential work?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Blame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Responsibility is treated as blame, guilt, desert, duty, or legal liability.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mature warrant regimes downstream of primitive attribution.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 claim causal-attributional or normative/allocative?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Provenance transfer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is treated as a token passed from one locus to another.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 each material transformation; provenance composes but does not simply transfer.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did each locus actually transform, retain, apply, maintain, or update?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Proximity shortcut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Nearest physical actor is assigned the whole responsibility path.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upstream and downstream distinction-conditioned transformations.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Which earlier conditions remained materially operative?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absorption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An early contributor is made responsible for all later consequences.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Test whether later loci corrected, replaced, ignored, or transformed the relation.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Did the upstream distinction remain operative in the later branch?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Exterior hindsight attribution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Evaluator uses information unavailable to the locus at the time.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Apply the Immediate-Frame Principle.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Was the relevant relation materially available or recoverable then?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Interior frame laundering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capable locus retrospectively narrows its stated frame to exclude warnings or alternatives that were actually available.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Reconstruct frame from recoverable paths, not self-description alone.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channels, records, warnings, or correction paths existed?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Warrant-as-provenance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Role, duty, liability, answerability, or institutional allocation is treated as causal provenance.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Responsibility Warrant separate and explicitly related to provenance.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does the warrant allocate, and what causal path does it not establish?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Gradient moralisation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Gradient becomes a universal moral score.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it ordinal/relational and tied to capacity plus actual provenance.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the gradient describing capacity or allocating blame?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6. Section 3b failure modes - Trust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Trust-as-certainty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closure is narrated as proof, confidence without residual, or total transparency.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Restore residual, threshold, and update.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remains unaudited while reliance proceeds?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Trust-carrier reification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Carrier is treated as trust ground because it bears a credential, role, record, or institutional mark.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the closure process the carrier is standing in for.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work did the carrier actually earn?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laundering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Reliance-strength earned in one relation is spent in another.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Re-index relation, carrier, closure demand, residual, and scope.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changed between the relation that earned trust and the relation now relying on it?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Borrowed-closure warrant transfer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Vicarious trust is treated as automatic transfer of warrant or Responsibility Provenance.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outsourced closure, reliance, and provenance distinct.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is merely relied upon versus causally attributable?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Audit/trust opposition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is treated as evidence that trust has failed, or trust as elimination of audit.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Treat audit as the reopening function that preserves corrigibility.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condition should foreground the backgrounded relation again?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Repair by reassurance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repair is asserted by apology, branding, certification, or reassurance without changing the failed relation.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and alter the failure-generating conditions; narrow/refuse trust if needed.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changed in the carrier, process, safeguard, or update path?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Unshared-comparator authority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 locus is preferred for one relation using success on another relation, scale, horizon, or closure demand.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Recover the shared target relation and comparable closure demand, availability, abstraction, scale, and horizon (3b-5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Does the demonstrated advantage concern the relation and use now claimed?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Confidence as epistemic standing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Confidence, precision, quick closure, or reduced expressed doubt is taken as demonstrated epistemic advantage.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Test relation-preservation and the treatment of residual; no single numerical uncertainty measure is required (3b-5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Could the apparently weaker contribution be exposing residual that the confident one conceals?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Relative advantage as sufficient closure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The stronger of two contributions is treated as adequate for a use that neither can support.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Retain the closure demand and residual limits; actionability cannot replace demonstration (3b-5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Is the advantage sufficient for this reliance, or only for further inquiry?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Carrier-path loss of advantage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Standing at the contributing locus is assumed to survive a stale record, altered abstraction, or misleading interface.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Recover both the target relation and the carrier relation for present use (3b-5 §8; 3c-8 §6).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What epistemic advantage actually reaches the relying locus?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Recognition as epistemic ground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 contribution acquires supposed standing merely because it is trusted, adopted, or used.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Separate earned standing from actual reliance. Trust makes standing operative but does not create it (3b-5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Would the demonstrated standing remain if the contribution were untrusted or unused?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Authority-type substitution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Structural permission is treated as epistemic standing, or epistemic standing as permission to act or decide.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Apply the two definitions in 3b-5 §8 independently; retain scoped authorisation and demonstrated relation-preservation.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Which authority is established, and what would establish the other?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Consequence as epistemic warrant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The occurrence or magnitude of an effect retrospectively establishes the epistemic standing of the relied-upon contribution.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Apply the Power discriminator to the branch difference and the Epistemic Authority discriminator to standing (3b-5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What demonstrated the relation-preserving advantage before consequence was used to validate it?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7. Section 3c failure modes - Formalisation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Universal formalisation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All language is forced into rigid formal structure.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Apply formalisation only where language/output becomes load-bearing and proportionate to consequence.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consequential work triggers the formalisation burden?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Form-completion closure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Completed fields/forms are treated as proof that the relation is preserved.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the relation and paths, not packet completion.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Could every field be filled while the target relation remains wrong?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Machine execution laundering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Automation or consistency is treated as repair of upstream under-specification.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training/data/model/interface/decision paths and unresolved abstractions.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relation did the machine actually preserve?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Record-as-warrant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retained record or documented provenance is treated as epistemic warrant by default.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Separate record/provenance from adequacy and closure.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comparator or evidence shows the record preserves the claimed relation?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Epistemic-debt concealment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Deferred grounding burden is hidden behind stable terminology or process.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Make debt visible as missing relation/path/update obligations.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grounding work has been postponed?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Retrospective outcome bias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Good outcome is treated as evidence the original decision path was strong.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decision quality under the information and conditions available at decision time.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Would the path still be judged strong under a different outcome?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Authorisation-path substitution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The mandate governing a claim’s use substitutes for the evidence path that supports its epistemic standing.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Keep structural authorisation and epistemic grounding separately recoverable (3c-6 §1; 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Does permission to use the claim establish why its target relation is preserved?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8. Section 3c failure modes - Governance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Adoption-as-validation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Institutional uptake or implementation scale is treated as evidence the method is correct.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operational adoption distinct from epistemic authority.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relation-preservation was demonstrated independently of adoption?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Custodial-authority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Stewardship of releases/archives is treated as ownership of epistemic validity.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Treat custody as an application of Structural Authority; recover release and correction records without promoting stewardship into epistemic standing (3c-7 §6; 3b-5 §8).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Could a steward be wrong while remaining the steward?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Operational-authority inflation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Institutional authority to apply the method becomes authority to redefine it epistemically.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Treat domain authority as an application of Structural Authority; distinguish scoped permission from the epistemic amendment burden (3c-7 §§6–7).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Is this an application decision or a technical/constitutional revision?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Preference amendment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Method changes because of convenience, vote, politics, adoption pressure, or author preference.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demonstrated relational failure and comparative improvement.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relation does the current formulation fail to preserve?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Founding-text ownership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Originating author/text is treated as immune from correction.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provenance but deny epistemic ownership.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Would a demonstrated counterexample force revision regardless of authorship?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Constitutional-label capture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highest-level label is used to block challenge.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Raise the burden of revision, not immunity to revision.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would count as demonstrated failure of the proposed constitutional element?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Fork-as-truth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Existence or popularity of a competing fork is treated as evidence of superiority.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Compare relation-preservation, residual, scope, and failure conditions.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does the fork preserve better and at what cost?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Certification closure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Certificate becomes general epistemic ground beyond what was assessed.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 certification to assessed relation, scope, residual, and re-audit conditions.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exactly was certified, and what was not?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9. Section 3c failure modes - Integrated Method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016"/>
        <w:gridCol w:w="2016"/>
        <w:gridCol w:w="2520"/>
        <w:gridCol w:w="1224"/>
        <w:gridCol w:w="2304"/>
      </w:tblGrid>
      <w:tr>
        <w:trPr>
          <w:tblHeader/>
        </w:trPr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Failure mode</w:t>
            </w:r>
          </w:p>
        </w:tc>
        <w:tc>
          <w:tcPr>
            <w:tcW w:type="dxa" w:w="201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Error</w:t>
            </w:r>
          </w:p>
        </w:tc>
        <w:tc>
          <w:tcPr>
            <w:tcW w:type="dxa" w:w="252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Correction</w:t>
            </w:r>
          </w:p>
        </w:tc>
        <w:tc>
          <w:tcPr>
            <w:tcW w:type="dxa" w:w="12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Severity</w:t>
            </w:r>
          </w:p>
        </w:tc>
        <w:tc>
          <w:tcPr>
            <w:tcW w:type="dxa" w:w="230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Diagnostic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Method universalisation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Epistemic Method is used as a substitute for science, law, ethics, judgement, or domain expertise.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it as relational audit discipline only.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domain-specific burden remains external to the method?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Method-compliance closure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Method-use or completion is treated as epistemic certificate.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Return strength to demonstrated relation-preservation.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claim would remain weak even after perfect procedural compliance?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Path flattening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Claim path, evidence path, record path, carrier path, and reliance path are collapsed.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 each load-bearing path separately.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Where did content, evidence, record, authority, and reliance each enter?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Claim/reliance-strength collapse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strong claim is assumed equally safe to rely upon for every locus/purpose, or vice versa.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Index reliance to the relying locus’s closure demand and limit.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Does the reliance purpose require more than the claim itself establishes?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Conditional-path universalisation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CIF/CE or Responsibility Provenance fields are required for claims that do not engage Power/Responsibility.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Activate relation-specific audits only when the claim triggers them.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relation-specific claim is being made?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paralysis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is used to prevent all finite action.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Permit action under threshold with proportionate safeguards and update where justified.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What action burden exists despite incomplete closure?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theatre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Visible review process substitutes for discriminatory comparator pressure or correction.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 actual potential to expose error, weaken claims, refuse closure, or force update.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 the audit produce a materially adverse result for the claim?</w:t>
            </w:r>
          </w:p>
        </w:tc>
      </w:tr>
      <w:tr>
        <w:trPr>
          <w:cantSplit/>
        </w:trPr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Preferential-reliance shortcut</w:t>
            </w:r>
          </w:p>
        </w:tc>
        <w:tc>
          <w:tcPr>
            <w:tcW w:type="dxa" w:w="201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Comparison favours another locus without establishing the advantage for the shared relation and closure demand or its survival through the carrier.</w:t>
            </w:r>
          </w:p>
        </w:tc>
        <w:tc>
          <w:tcPr>
            <w:tcW w:type="dxa" w:w="252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Apply the comparator burden where preferential reliance is claimed (3c-8 §6), inheriting 3b-5 §8.</w:t>
            </w:r>
          </w:p>
        </w:tc>
        <w:tc>
          <w:tcPr>
            <w:tcW w:type="dxa" w:w="12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</w:t>
            </w:r>
          </w:p>
        </w:tc>
        <w:tc>
          <w:tcPr>
            <w:tcW w:type="dxa" w:w="230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What advantage supports this reliance at the receiving locus?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10. Final release test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Every major term is traceable to a current canonical paper or permitted upstream control.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3a/3b/3c directional inheritance is preserved.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Power claims recover IPL/CIF and do not collapse into causation, force, or authority.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Responsibility claims separate Provenance from Warrant and respect Immediate Frame.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Trust claims retain carrier, closure demand, residual, threshold, audit, safeguard where material, and update.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Formalisation remains proportional and packet-completion does not become closure.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Epistemic and Structural Authority remain defined in 3b-5 §8. Governance applies that distinction to custodial and operational authority in 3c-7 §6 and retains amendment by demonstrated relation-preservation.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Paper 3c-8 remains an integration/audit layer rather than a route for redefining Papers 3a-1–3c-7.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Any later source edit triggers fresh hash and downstream support reconciliation.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  <w:szCs w:val="18"/>
      </w:rPr>
      <w:t>Secondary to canonical papers. Primary papers govern technical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 w:eastAsia="Arial" w:cs="Arial"/>
        <w:sz w:val="18"/>
        <w:szCs w:val="18"/>
      </w:rPr>
      <w:t>Part 3 (3a-3c): The Epistemic Method | TEM-P3-3A3B3C-SD03-GUARDRAIL | Issue 1 | Source-locked</w:t>
      <w:br/>
      <w:t>Secondary to canonical papers. Primary papers govern technical use.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2"/>
      <w:szCs w:val="22"/>
    </w:rPr>
  </w:style>
  <w:style w:type="paragraph" w:styleId="Header">
    <w:rPr>
      <w:rFonts w:ascii="Arial" w:hAnsi="Arial" w:eastAsia="Arial" w:cs="Arial"/>
      <w:sz w:val="18"/>
      <w:szCs w:val="18"/>
    </w:rPr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rPr>
      <w:rFonts w:ascii="Arial" w:hAnsi="Arial" w:eastAsia="Arial" w:cs="Arial"/>
      <w:sz w:val="22"/>
      <w:szCs w:val="22"/>
    </w:rPr>
    <w:name w:val="Header Char"/>
    <w:basedOn w:val="DefaultParagraphFont"/>
    <w:link w:val="Header"/>
    <w:uiPriority w:val="99"/>
    <w:rsid w:val="00E618BF"/>
  </w:style>
  <w:style w:type="paragraph" w:styleId="Footer">
    <w:rPr>
      <w:rFonts w:ascii="Arial" w:hAnsi="Arial" w:eastAsia="Arial" w:cs="Arial"/>
      <w:sz w:val="18"/>
      <w:szCs w:val="18"/>
    </w:rPr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rPr>
      <w:rFonts w:ascii="Arial" w:hAnsi="Arial" w:eastAsia="Arial" w:cs="Arial"/>
      <w:sz w:val="22"/>
      <w:szCs w:val="22"/>
    </w:rPr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000000"/>
      <w:rFonts w:ascii="Arial" w:hAnsi="Arial" w:eastAsia="Arial" w:cs="Arial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000000"/>
      <w:rFonts w:ascii="Arial" w:hAnsi="Arial" w:eastAsia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000000"/>
      <w:rFonts w:ascii="Arial" w:hAnsi="Arial" w:eastAsia="Arial" w:cs="Arial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rFonts w:ascii="Arial" w:hAnsi="Arial" w:eastAsia="Arial" w:cs="Arial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default="1" w:styleId="DefaultParagraphFont">
    <w:rPr>
      <w:rFonts w:ascii="Arial" w:hAnsi="Arial" w:eastAsia="Arial" w:cs="Arial"/>
      <w:sz w:val="22"/>
      <w:szCs w:val="22"/>
    </w:rPr>
    <w:name w:val="Default Paragraph Font"/>
    <w:uiPriority w:val="1"/>
    <w:semiHidden/>
    <w:unhideWhenUsed/>
  </w:style>
  <w:style w:type="table" w:default="1" w:styleId="TableNormal">
    <w:rPr>
      <w:rFonts w:ascii="Arial" w:hAnsi="Arial" w:eastAsia="Arial" w:cs="Arial"/>
      <w:sz w:val="22"/>
      <w:szCs w:val="22"/>
    </w:rPr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rPr>
      <w:rFonts w:ascii="Arial" w:hAnsi="Arial" w:eastAsia="Arial" w:cs="Arial"/>
      <w:sz w:val="22"/>
      <w:szCs w:val="22"/>
    </w:rPr>
    <w:name w:val="No List"/>
    <w:uiPriority w:val="99"/>
    <w:semiHidden/>
    <w:unhideWhenUsed/>
  </w:style>
  <w:style w:type="paragraph" w:styleId="NoSpacing">
    <w:rPr>
      <w:rFonts w:ascii="Arial" w:hAnsi="Arial" w:eastAsia="Arial" w:cs="Arial"/>
      <w:sz w:val="22"/>
      <w:szCs w:val="22"/>
    </w:rPr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365F91" w:themeColor="accent1" w:themeShade="BF"/>
      <w:rFonts w:ascii="Arial" w:hAnsi="Arial" w:eastAsia="Arial" w:cs="Arial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b/>
      <w:color w:val="000000"/>
      <w:spacing w:val="5"/>
      <w:kern w:val="28"/>
      <w:rFonts w:ascii="Arial" w:hAnsi="Arial" w:eastAsia="Arial" w:cs="Arial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17365D" w:themeColor="text2" w:themeShade="BF"/>
      <w:spacing w:val="5"/>
      <w:kern w:val="28"/>
      <w:rFonts w:ascii="Arial" w:hAnsi="Arial" w:eastAsia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paragraph" w:styleId="ListParagraph">
    <w:rPr>
      <w:rFonts w:ascii="Arial" w:hAnsi="Arial" w:eastAsia="Arial" w:cs="Arial"/>
      <w:sz w:val="22"/>
      <w:szCs w:val="22"/>
    </w:rPr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Char">
    <w:rPr>
      <w:rFonts w:ascii="Arial" w:hAnsi="Arial" w:eastAsia="Arial" w:cs="Arial"/>
      <w:sz w:val="22"/>
      <w:szCs w:val="22"/>
    </w:rPr>
    <w:name w:val="Body Text Char"/>
    <w:basedOn w:val="DefaultParagraphFont"/>
    <w:link w:val="BodyText"/>
    <w:uiPriority w:val="99"/>
    <w:rsid w:val="00AA1D8D"/>
  </w:style>
  <w:style w:type="paragraph" w:styleId="BodyText2">
    <w:rPr>
      <w:rFonts w:ascii="Arial" w:hAnsi="Arial" w:eastAsia="Arial" w:cs="Arial"/>
      <w:sz w:val="22"/>
      <w:szCs w:val="22"/>
    </w:rPr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rPr>
      <w:rFonts w:ascii="Arial" w:hAnsi="Arial" w:eastAsia="Arial" w:cs="Arial"/>
      <w:sz w:val="22"/>
      <w:szCs w:val="22"/>
    </w:rPr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2"/>
      <w:szCs w:val="22"/>
    </w:rPr>
  </w:style>
  <w:style w:type="paragraph" w:styleId="List">
    <w:rPr>
      <w:rFonts w:ascii="Arial" w:hAnsi="Arial" w:eastAsia="Arial" w:cs="Arial"/>
      <w:sz w:val="22"/>
      <w:szCs w:val="22"/>
    </w:rPr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rPr>
      <w:rFonts w:ascii="Arial" w:hAnsi="Arial" w:eastAsia="Arial" w:cs="Arial"/>
      <w:sz w:val="22"/>
      <w:szCs w:val="22"/>
    </w:rPr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rPr>
      <w:rFonts w:ascii="Arial" w:hAnsi="Arial" w:eastAsia="Arial" w:cs="Arial"/>
      <w:sz w:val="22"/>
      <w:szCs w:val="22"/>
    </w:rPr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rPr>
      <w:rFonts w:ascii="Arial" w:hAnsi="Arial" w:eastAsia="Arial" w:cs="Arial"/>
      <w:sz w:val="22"/>
      <w:szCs w:val="22"/>
    </w:rPr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rPr>
      <w:rFonts w:ascii="Arial" w:hAnsi="Arial" w:eastAsia="Arial" w:cs="Arial"/>
      <w:sz w:val="22"/>
      <w:szCs w:val="22"/>
    </w:rPr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rPr>
      <w:rFonts w:ascii="Arial" w:hAnsi="Arial" w:eastAsia="Arial" w:cs="Arial"/>
      <w:sz w:val="22"/>
      <w:szCs w:val="22"/>
    </w:rPr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rPr>
      <w:rFonts w:ascii="Arial" w:hAnsi="Arial" w:eastAsia="Arial" w:cs="Arial"/>
      <w:sz w:val="22"/>
      <w:szCs w:val="22"/>
    </w:rPr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rPr>
      <w:rFonts w:ascii="Arial" w:hAnsi="Arial" w:eastAsia="Arial" w:cs="Arial"/>
      <w:sz w:val="22"/>
      <w:szCs w:val="22"/>
    </w:rPr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rPr>
      <w:rFonts w:ascii="Arial" w:hAnsi="Arial" w:eastAsia="Arial" w:cs="Arial"/>
      <w:sz w:val="22"/>
      <w:szCs w:val="22"/>
    </w:rPr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rPr>
      <w:rFonts w:ascii="Arial" w:hAnsi="Arial" w:eastAsia="Arial" w:cs="Arial"/>
      <w:sz w:val="22"/>
      <w:szCs w:val="22"/>
    </w:rPr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rPr>
      <w:rFonts w:ascii="Arial" w:hAnsi="Arial" w:eastAsia="Arial" w:cs="Arial"/>
      <w:sz w:val="22"/>
      <w:szCs w:val="22"/>
    </w:rPr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rPr>
      <w:rFonts w:ascii="Arial" w:hAnsi="Arial" w:eastAsia="Arial" w:cs="Arial"/>
      <w:sz w:val="22"/>
      <w:szCs w:val="22"/>
    </w:rPr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Arial" w:hAnsi="Arial" w:eastAsia="Arial" w:cs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Arial" w:hAnsi="Arial" w:eastAsia="Arial" w:cs="Arial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Arial" w:hAnsi="Arial" w:eastAsia="Arial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Arial" w:hAnsi="Arial" w:eastAsia="Arial" w:cs="Arial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Arial" w:hAnsi="Arial" w:eastAsia="Arial" w:cs="Arial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Arial" w:hAnsi="Arial" w:eastAsia="Arial" w:cs="Arial"/>
      <w:sz w:val="22"/>
      <w:szCs w:val="22"/>
    </w:rPr>
  </w:style>
  <w:style w:type="paragraph" w:styleId="TOCHeading">
    <w:rPr>
      <w:rFonts w:ascii="Arial" w:hAnsi="Arial" w:eastAsia="Arial" w:cs="Arial"/>
      <w:sz w:val="22"/>
      <w:szCs w:val="22"/>
    </w:rPr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rPr>
      <w:rFonts w:ascii="Arial" w:hAnsi="Arial" w:eastAsia="Arial" w:cs="Arial"/>
      <w:sz w:val="22"/>
      <w:szCs w:val="22"/>
    </w:rPr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rPr>
      <w:rFonts w:ascii="Arial" w:hAnsi="Arial" w:eastAsia="Arial" w:cs="Arial"/>
      <w:sz w:val="22"/>
      <w:szCs w:val="22"/>
    </w:rPr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rPr>
      <w:rFonts w:ascii="Arial" w:hAnsi="Arial" w:eastAsia="Arial" w:cs="Arial"/>
      <w:sz w:val="22"/>
      <w:szCs w:val="22"/>
    </w:rPr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rPr>
      <w:rFonts w:ascii="Arial" w:hAnsi="Arial" w:eastAsia="Arial" w:cs="Arial"/>
      <w:sz w:val="22"/>
      <w:szCs w:val="22"/>
    </w:rPr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rPr>
      <w:rFonts w:ascii="Arial" w:hAnsi="Arial" w:eastAsia="Arial" w:cs="Arial"/>
      <w:sz w:val="22"/>
      <w:szCs w:val="22"/>
    </w:rPr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rPr>
      <w:rFonts w:ascii="Arial" w:hAnsi="Arial" w:eastAsia="Arial" w:cs="Arial"/>
      <w:sz w:val="22"/>
      <w:szCs w:val="22"/>
    </w:rPr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rPr>
      <w:rFonts w:ascii="Arial" w:hAnsi="Arial" w:eastAsia="Arial" w:cs="Arial"/>
      <w:sz w:val="22"/>
      <w:szCs w:val="22"/>
    </w:rPr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rPr>
      <w:rFonts w:ascii="Arial" w:hAnsi="Arial" w:eastAsia="Arial" w:cs="Arial"/>
      <w:sz w:val="22"/>
      <w:szCs w:val="22"/>
    </w:rPr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rPr>
      <w:rFonts w:ascii="Arial" w:hAnsi="Arial" w:eastAsia="Arial" w:cs="Arial"/>
      <w:sz w:val="22"/>
      <w:szCs w:val="22"/>
    </w:rPr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rPr>
      <w:rFonts w:ascii="Arial" w:hAnsi="Arial" w:eastAsia="Arial" w:cs="Arial"/>
      <w:sz w:val="22"/>
      <w:szCs w:val="22"/>
    </w:rPr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rPr>
      <w:rFonts w:ascii="Arial" w:hAnsi="Arial" w:eastAsia="Arial" w:cs="Arial"/>
      <w:sz w:val="22"/>
      <w:szCs w:val="22"/>
    </w:rPr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rPr>
      <w:rFonts w:ascii="Arial" w:hAnsi="Arial" w:eastAsia="Arial" w:cs="Arial"/>
      <w:sz w:val="22"/>
      <w:szCs w:val="22"/>
    </w:rPr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rPr>
      <w:rFonts w:ascii="Arial" w:hAnsi="Arial" w:eastAsia="Arial" w:cs="Arial"/>
      <w:sz w:val="22"/>
      <w:szCs w:val="22"/>
    </w:rPr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rPr>
      <w:rFonts w:ascii="Arial" w:hAnsi="Arial" w:eastAsia="Arial" w:cs="Arial"/>
      <w:sz w:val="22"/>
      <w:szCs w:val="22"/>
    </w:rPr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rPr>
      <w:rFonts w:ascii="Arial" w:hAnsi="Arial" w:eastAsia="Arial" w:cs="Arial"/>
      <w:sz w:val="22"/>
      <w:szCs w:val="22"/>
    </w:rPr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rPr>
      <w:rFonts w:ascii="Arial" w:hAnsi="Arial" w:eastAsia="Arial" w:cs="Arial"/>
      <w:sz w:val="22"/>
      <w:szCs w:val="22"/>
    </w:rPr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rPr>
      <w:rFonts w:ascii="Arial" w:hAnsi="Arial" w:eastAsia="Arial" w:cs="Arial"/>
      <w:sz w:val="22"/>
      <w:szCs w:val="22"/>
    </w:rPr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rPr>
      <w:rFonts w:ascii="Arial" w:hAnsi="Arial" w:eastAsia="Arial" w:cs="Arial"/>
      <w:sz w:val="22"/>
      <w:szCs w:val="22"/>
    </w:rPr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rPr>
      <w:rFonts w:ascii="Arial" w:hAnsi="Arial" w:eastAsia="Arial" w:cs="Arial"/>
      <w:sz w:val="22"/>
      <w:szCs w:val="22"/>
    </w:rPr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rPr>
      <w:rFonts w:ascii="Arial" w:hAnsi="Arial" w:eastAsia="Arial" w:cs="Arial"/>
      <w:sz w:val="22"/>
      <w:szCs w:val="22"/>
    </w:rPr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rPr>
      <w:rFonts w:ascii="Arial" w:hAnsi="Arial" w:eastAsia="Arial" w:cs="Arial"/>
      <w:sz w:val="22"/>
      <w:szCs w:val="22"/>
    </w:rPr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rPr>
      <w:rFonts w:ascii="Arial" w:hAnsi="Arial" w:eastAsia="Arial" w:cs="Arial"/>
      <w:sz w:val="22"/>
      <w:szCs w:val="22"/>
    </w:rPr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rPr>
      <w:rFonts w:ascii="Arial" w:hAnsi="Arial" w:eastAsia="Arial" w:cs="Arial"/>
      <w:sz w:val="22"/>
      <w:szCs w:val="22"/>
    </w:rPr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rPr>
      <w:rFonts w:ascii="Arial" w:hAnsi="Arial" w:eastAsia="Arial" w:cs="Arial"/>
      <w:sz w:val="22"/>
      <w:szCs w:val="22"/>
    </w:rPr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rPr>
      <w:rFonts w:ascii="Arial" w:hAnsi="Arial" w:eastAsia="Arial" w:cs="Arial"/>
      <w:sz w:val="22"/>
      <w:szCs w:val="22"/>
    </w:rPr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rPr>
      <w:rFonts w:ascii="Arial" w:hAnsi="Arial" w:eastAsia="Arial" w:cs="Arial"/>
      <w:sz w:val="22"/>
      <w:szCs w:val="22"/>
    </w:rPr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rPr>
      <w:rFonts w:ascii="Arial" w:hAnsi="Arial" w:eastAsia="Arial" w:cs="Arial"/>
      <w:sz w:val="22"/>
      <w:szCs w:val="22"/>
    </w:rPr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rPr>
      <w:rFonts w:ascii="Arial" w:hAnsi="Arial" w:eastAsia="Arial" w:cs="Arial"/>
      <w:sz w:val="22"/>
      <w:szCs w:val="22"/>
    </w:rPr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rPr>
      <w:rFonts w:ascii="Arial" w:hAnsi="Arial" w:eastAsia="Arial" w:cs="Arial"/>
      <w:sz w:val="22"/>
      <w:szCs w:val="22"/>
    </w:rPr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rPr>
      <w:rFonts w:ascii="Arial" w:hAnsi="Arial" w:eastAsia="Arial" w:cs="Arial"/>
      <w:sz w:val="22"/>
      <w:szCs w:val="22"/>
    </w:rPr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rPr>
      <w:rFonts w:ascii="Arial" w:hAnsi="Arial" w:eastAsia="Arial" w:cs="Arial"/>
      <w:sz w:val="22"/>
      <w:szCs w:val="22"/>
    </w:rPr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rPr>
      <w:rFonts w:ascii="Arial" w:hAnsi="Arial" w:eastAsia="Arial" w:cs="Arial"/>
      <w:sz w:val="22"/>
      <w:szCs w:val="22"/>
    </w:rPr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rPr>
      <w:rFonts w:ascii="Arial" w:hAnsi="Arial" w:eastAsia="Arial" w:cs="Arial"/>
      <w:sz w:val="22"/>
      <w:szCs w:val="22"/>
    </w:rPr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rPr>
      <w:rFonts w:ascii="Arial" w:hAnsi="Arial" w:eastAsia="Arial" w:cs="Arial"/>
      <w:sz w:val="22"/>
      <w:szCs w:val="22"/>
    </w:rPr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rPr>
      <w:rFonts w:ascii="Arial" w:hAnsi="Arial" w:eastAsia="Arial" w:cs="Arial"/>
      <w:sz w:val="22"/>
      <w:szCs w:val="22"/>
    </w:rPr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rPr>
      <w:rFonts w:ascii="Arial" w:hAnsi="Arial" w:eastAsia="Arial" w:cs="Arial"/>
      <w:sz w:val="22"/>
      <w:szCs w:val="22"/>
    </w:rPr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rPr>
      <w:rFonts w:ascii="Arial" w:hAnsi="Arial" w:eastAsia="Arial" w:cs="Arial"/>
      <w:sz w:val="22"/>
      <w:szCs w:val="22"/>
    </w:rPr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rPr>
      <w:rFonts w:ascii="Arial" w:hAnsi="Arial" w:eastAsia="Arial" w:cs="Arial"/>
      <w:sz w:val="22"/>
      <w:szCs w:val="22"/>
    </w:rPr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rPr>
      <w:rFonts w:ascii="Arial" w:hAnsi="Arial" w:eastAsia="Arial" w:cs="Arial"/>
      <w:sz w:val="22"/>
      <w:szCs w:val="22"/>
    </w:rPr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rPr>
      <w:rFonts w:ascii="Arial" w:hAnsi="Arial" w:eastAsia="Arial" w:cs="Arial"/>
      <w:sz w:val="22"/>
      <w:szCs w:val="22"/>
    </w:rPr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rPr>
      <w:rFonts w:ascii="Arial" w:hAnsi="Arial" w:eastAsia="Arial" w:cs="Arial"/>
      <w:sz w:val="22"/>
      <w:szCs w:val="22"/>
    </w:rPr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rPr>
      <w:rFonts w:ascii="Arial" w:hAnsi="Arial" w:eastAsia="Arial" w:cs="Arial"/>
      <w:sz w:val="22"/>
      <w:szCs w:val="22"/>
    </w:rPr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rPr>
      <w:rFonts w:ascii="Arial" w:hAnsi="Arial" w:eastAsia="Arial" w:cs="Arial"/>
      <w:sz w:val="22"/>
      <w:szCs w:val="22"/>
    </w:rPr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2026-09-24T00:00:00Z</dcterms:modified>
  <cp:category/>
</cp:coreProperties>
</file>